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FF" w:rsidRPr="001B657B" w:rsidRDefault="00765247" w:rsidP="008364FF">
      <w:pPr>
        <w:pStyle w:val="Sinespaciado"/>
        <w:jc w:val="center"/>
        <w:rPr>
          <w:rFonts w:ascii="FrankRuehl" w:hAnsi="FrankRuehl" w:cs="FrankRuehl"/>
          <w:b/>
          <w:sz w:val="32"/>
        </w:rPr>
      </w:pPr>
      <w:r>
        <w:rPr>
          <w:rFonts w:ascii="FrankRuehl" w:hAnsi="FrankRuehl" w:cs="FrankRuehl"/>
          <w:b/>
          <w:sz w:val="32"/>
        </w:rPr>
        <w:t xml:space="preserve">3.5 </w:t>
      </w:r>
      <w:r w:rsidR="008364FF" w:rsidRPr="001B657B">
        <w:rPr>
          <w:rFonts w:ascii="FrankRuehl" w:hAnsi="FrankRuehl" w:cs="FrankRuehl"/>
          <w:b/>
          <w:sz w:val="32"/>
        </w:rPr>
        <w:t xml:space="preserve">El Proceso Creativo y Las Propiedades del Material de Trabajo </w:t>
      </w:r>
    </w:p>
    <w:p w:rsidR="008364FF" w:rsidRPr="00A35D55" w:rsidRDefault="008364FF" w:rsidP="00765247">
      <w:pPr>
        <w:pStyle w:val="Sinespaciado"/>
        <w:jc w:val="right"/>
        <w:rPr>
          <w:rFonts w:ascii="FrankRuehl" w:hAnsi="FrankRuehl" w:cs="FrankRuehl"/>
          <w:b/>
          <w:sz w:val="40"/>
        </w:rPr>
      </w:pPr>
    </w:p>
    <w:p w:rsidR="008364FF" w:rsidRPr="00A35D55" w:rsidRDefault="008364FF" w:rsidP="00765247">
      <w:pPr>
        <w:spacing w:after="0" w:line="240" w:lineRule="auto"/>
        <w:jc w:val="right"/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b/>
          <w:sz w:val="24"/>
        </w:rPr>
        <w:t>Definición</w:t>
      </w:r>
      <w:r w:rsidRPr="00A35D55">
        <w:rPr>
          <w:rFonts w:ascii="FrankRuehl" w:hAnsi="FrankRuehl" w:cs="FrankRuehl"/>
          <w:sz w:val="24"/>
        </w:rPr>
        <w:t xml:space="preserve">: </w:t>
      </w:r>
    </w:p>
    <w:p w:rsidR="008364FF" w:rsidRPr="00A35D55" w:rsidRDefault="008364FF" w:rsidP="00765247">
      <w:pPr>
        <w:spacing w:after="0" w:line="240" w:lineRule="auto"/>
        <w:jc w:val="right"/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>Concepto que identifica las cualidades de las ideas en la mente</w:t>
      </w:r>
    </w:p>
    <w:p w:rsidR="008364FF" w:rsidRPr="00A35D55" w:rsidRDefault="008364FF" w:rsidP="00765247">
      <w:pPr>
        <w:spacing w:after="0" w:line="240" w:lineRule="auto"/>
        <w:jc w:val="right"/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b/>
          <w:sz w:val="24"/>
        </w:rPr>
        <w:t>Beneficios</w:t>
      </w:r>
      <w:r w:rsidRPr="00A35D55">
        <w:rPr>
          <w:rFonts w:ascii="FrankRuehl" w:hAnsi="FrankRuehl" w:cs="FrankRuehl"/>
          <w:sz w:val="24"/>
        </w:rPr>
        <w:t xml:space="preserve">: </w:t>
      </w:r>
    </w:p>
    <w:p w:rsidR="008364FF" w:rsidRPr="00A35D55" w:rsidRDefault="008364FF" w:rsidP="00765247">
      <w:pPr>
        <w:numPr>
          <w:ilvl w:val="0"/>
          <w:numId w:val="1"/>
        </w:numPr>
        <w:spacing w:after="0" w:line="240" w:lineRule="auto"/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>Conocer la dinámica de las ideas, función, efectos y reacciones</w:t>
      </w:r>
    </w:p>
    <w:p w:rsidR="008364FF" w:rsidRDefault="001D0F8A" w:rsidP="00765247">
      <w:pPr>
        <w:numPr>
          <w:ilvl w:val="0"/>
          <w:numId w:val="1"/>
        </w:numPr>
        <w:spacing w:after="0" w:line="240" w:lineRule="auto"/>
        <w:rPr>
          <w:rFonts w:ascii="FrankRuehl" w:hAnsi="FrankRuehl" w:cs="FrankRuehl"/>
          <w:sz w:val="24"/>
        </w:rPr>
      </w:pPr>
      <w:r>
        <w:rPr>
          <w:rFonts w:ascii="FrankRuehl" w:hAnsi="FrankRuehl" w:cs="FrankRuehl"/>
          <w:sz w:val="24"/>
        </w:rPr>
        <w:t>Aprender a manejarlas</w:t>
      </w:r>
      <w:r w:rsidR="008364FF" w:rsidRPr="00A35D55">
        <w:rPr>
          <w:rFonts w:ascii="FrankRuehl" w:hAnsi="FrankRuehl" w:cs="FrankRuehl"/>
          <w:sz w:val="24"/>
        </w:rPr>
        <w:t xml:space="preserve"> para </w:t>
      </w:r>
      <w:r>
        <w:rPr>
          <w:rFonts w:ascii="FrankRuehl" w:hAnsi="FrankRuehl" w:cs="FrankRuehl"/>
          <w:sz w:val="24"/>
        </w:rPr>
        <w:t>optimizar nuestro proceso creativo</w:t>
      </w:r>
      <w:r w:rsidR="008364FF" w:rsidRPr="00A35D55">
        <w:rPr>
          <w:rFonts w:ascii="FrankRuehl" w:hAnsi="FrankRuehl" w:cs="FrankRuehl"/>
          <w:sz w:val="24"/>
        </w:rPr>
        <w:t>.</w:t>
      </w:r>
    </w:p>
    <w:p w:rsidR="0080602D" w:rsidRPr="0080602D" w:rsidRDefault="0080602D" w:rsidP="00765247">
      <w:pPr>
        <w:numPr>
          <w:ilvl w:val="0"/>
          <w:numId w:val="1"/>
        </w:numPr>
        <w:spacing w:after="0" w:line="240" w:lineRule="auto"/>
        <w:jc w:val="right"/>
        <w:rPr>
          <w:rFonts w:ascii="FrankRuehl" w:hAnsi="FrankRuehl" w:cs="FrankRuehl"/>
          <w:sz w:val="24"/>
        </w:rPr>
      </w:pPr>
    </w:p>
    <w:p w:rsidR="006F2A72" w:rsidRDefault="006F2A72" w:rsidP="006F2A72">
      <w:pPr>
        <w:pStyle w:val="Sinespaciado"/>
      </w:pPr>
    </w:p>
    <w:p w:rsidR="008364FF" w:rsidRDefault="006F2A72" w:rsidP="00765247">
      <w:pPr>
        <w:pStyle w:val="Sinespaciado"/>
        <w:jc w:val="right"/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/>
          <w:sz w:val="24"/>
          <w:szCs w:val="24"/>
        </w:rPr>
        <w:t>Dividi</w:t>
      </w:r>
      <w:r w:rsidR="0080602D">
        <w:rPr>
          <w:rFonts w:ascii="FrankRuehl" w:hAnsi="FrankRuehl" w:cs="FrankRuehl"/>
          <w:sz w:val="24"/>
          <w:szCs w:val="24"/>
        </w:rPr>
        <w:t>re</w:t>
      </w:r>
      <w:r>
        <w:rPr>
          <w:rFonts w:ascii="FrankRuehl" w:hAnsi="FrankRuehl" w:cs="FrankRuehl"/>
          <w:sz w:val="24"/>
          <w:szCs w:val="24"/>
        </w:rPr>
        <w:t xml:space="preserve">mos al proceso creativo </w:t>
      </w:r>
      <w:r w:rsidR="008364FF" w:rsidRPr="006F2A72">
        <w:rPr>
          <w:rFonts w:ascii="FrankRuehl" w:hAnsi="FrankRuehl" w:cs="FrankRuehl"/>
          <w:sz w:val="24"/>
          <w:szCs w:val="24"/>
        </w:rPr>
        <w:t>en 4 etapas</w:t>
      </w:r>
      <w:r w:rsidR="0080602D">
        <w:rPr>
          <w:rFonts w:ascii="FrankRuehl" w:hAnsi="FrankRuehl" w:cs="FrankRuehl"/>
          <w:sz w:val="24"/>
          <w:szCs w:val="24"/>
        </w:rPr>
        <w:t xml:space="preserve"> en las que encontraremos diversas propiedades por las que pasa en transformación la idea antes de convertirse en un producto/obra realizada</w:t>
      </w:r>
      <w:r>
        <w:rPr>
          <w:rFonts w:ascii="FrankRuehl" w:hAnsi="FrankRuehl" w:cs="FrankRuehl"/>
          <w:sz w:val="24"/>
          <w:szCs w:val="24"/>
        </w:rPr>
        <w:t>:</w:t>
      </w:r>
    </w:p>
    <w:p w:rsidR="006F2A72" w:rsidRPr="006F2A72" w:rsidRDefault="006F2A72" w:rsidP="0080602D">
      <w:pPr>
        <w:pStyle w:val="Sinespaciado"/>
      </w:pPr>
    </w:p>
    <w:p w:rsidR="008364FF" w:rsidRPr="00765247" w:rsidRDefault="008364FF" w:rsidP="0080602D">
      <w:pPr>
        <w:pStyle w:val="Sinespaciado"/>
        <w:numPr>
          <w:ilvl w:val="0"/>
          <w:numId w:val="8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La etapa Abstracta</w:t>
      </w:r>
      <w:r w:rsidRPr="00765247">
        <w:rPr>
          <w:rFonts w:ascii="FrankRuehl" w:hAnsi="FrankRuehl" w:cs="FrankRuehl"/>
        </w:rPr>
        <w:t xml:space="preserve"> que es cuando la idea permanece en la mente como una sustancia etérea, inmaterial, sin existencia física ni concepción real subjetiva.</w:t>
      </w:r>
    </w:p>
    <w:p w:rsidR="0080602D" w:rsidRPr="00765247" w:rsidRDefault="0080602D" w:rsidP="0080602D">
      <w:pPr>
        <w:pStyle w:val="Sinespaciado"/>
        <w:numPr>
          <w:ilvl w:val="0"/>
          <w:numId w:val="7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</w:rPr>
        <w:t>Imprevisible:</w:t>
      </w:r>
    </w:p>
    <w:p w:rsidR="0080602D" w:rsidRPr="00765247" w:rsidRDefault="0080602D" w:rsidP="0080602D">
      <w:pPr>
        <w:pStyle w:val="Sinespaciado"/>
        <w:numPr>
          <w:ilvl w:val="0"/>
          <w:numId w:val="7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</w:rPr>
        <w:t>Evasiva</w:t>
      </w:r>
    </w:p>
    <w:p w:rsidR="0080602D" w:rsidRPr="00765247" w:rsidRDefault="0080602D" w:rsidP="0080602D">
      <w:pPr>
        <w:pStyle w:val="Sinespaciado"/>
        <w:numPr>
          <w:ilvl w:val="0"/>
          <w:numId w:val="7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</w:rPr>
        <w:t>Espontanea</w:t>
      </w:r>
    </w:p>
    <w:p w:rsidR="0080602D" w:rsidRPr="00765247" w:rsidRDefault="008364FF" w:rsidP="0080602D">
      <w:pPr>
        <w:pStyle w:val="Sinespaciado"/>
        <w:numPr>
          <w:ilvl w:val="0"/>
          <w:numId w:val="7"/>
        </w:numPr>
        <w:ind w:left="709"/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La etapa Extracta</w:t>
      </w:r>
      <w:r w:rsidRPr="00765247">
        <w:rPr>
          <w:rFonts w:ascii="FrankRuehl" w:hAnsi="FrankRuehl" w:cs="FrankRuehl"/>
        </w:rPr>
        <w:t xml:space="preserve"> (referido a la acción de extraer) que es cuando l</w:t>
      </w:r>
      <w:r w:rsidR="001B657B" w:rsidRPr="00765247">
        <w:rPr>
          <w:rFonts w:ascii="FrankRuehl" w:hAnsi="FrankRuehl" w:cs="FrankRuehl"/>
        </w:rPr>
        <w:t>a idea comienza manifestarse a la comprensión y</w:t>
      </w:r>
      <w:r w:rsidRPr="00765247">
        <w:rPr>
          <w:rFonts w:ascii="FrankRuehl" w:hAnsi="FrankRuehl" w:cs="FrankRuehl"/>
        </w:rPr>
        <w:t xml:space="preserve"> razón.</w:t>
      </w:r>
    </w:p>
    <w:p w:rsidR="0080602D" w:rsidRPr="00765247" w:rsidRDefault="0080602D" w:rsidP="0080602D">
      <w:pPr>
        <w:pStyle w:val="Sinespaciado"/>
        <w:numPr>
          <w:ilvl w:val="2"/>
          <w:numId w:val="10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</w:rPr>
        <w:t>Sustractiva:</w:t>
      </w:r>
    </w:p>
    <w:p w:rsidR="0080602D" w:rsidRPr="00765247" w:rsidRDefault="0080602D" w:rsidP="0080602D">
      <w:pPr>
        <w:pStyle w:val="Sinespaciado"/>
        <w:numPr>
          <w:ilvl w:val="2"/>
          <w:numId w:val="10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</w:rPr>
        <w:t>Sustancial:</w:t>
      </w:r>
    </w:p>
    <w:p w:rsidR="008364FF" w:rsidRPr="00765247" w:rsidRDefault="008364FF" w:rsidP="0080602D">
      <w:pPr>
        <w:pStyle w:val="Sinespaciado"/>
        <w:numPr>
          <w:ilvl w:val="0"/>
          <w:numId w:val="12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La etapa Exacta</w:t>
      </w:r>
      <w:r w:rsidRPr="00765247">
        <w:rPr>
          <w:rFonts w:ascii="FrankRuehl" w:hAnsi="FrankRuehl" w:cs="FrankRuehl"/>
        </w:rPr>
        <w:t xml:space="preserve"> (referido a la acción de </w:t>
      </w:r>
      <w:proofErr w:type="spellStart"/>
      <w:r w:rsidRPr="00765247">
        <w:rPr>
          <w:rFonts w:ascii="FrankRuehl" w:hAnsi="FrankRuehl" w:cs="FrankRuehl"/>
        </w:rPr>
        <w:t>exactar</w:t>
      </w:r>
      <w:proofErr w:type="spellEnd"/>
      <w:r w:rsidRPr="00765247">
        <w:rPr>
          <w:rFonts w:ascii="FrankRuehl" w:hAnsi="FrankRuehl" w:cs="FrankRuehl"/>
        </w:rPr>
        <w:t>, es decir, definir a la idea) es cuando se trabaja en esclarecer, formar a la idea como un producto específico.</w:t>
      </w:r>
    </w:p>
    <w:p w:rsidR="0080602D" w:rsidRPr="00765247" w:rsidRDefault="001B657B" w:rsidP="0080602D">
      <w:pPr>
        <w:pStyle w:val="Sinespaciado"/>
        <w:numPr>
          <w:ilvl w:val="0"/>
          <w:numId w:val="12"/>
        </w:numPr>
        <w:ind w:left="1134"/>
        <w:rPr>
          <w:rFonts w:ascii="FrankRuehl" w:hAnsi="FrankRuehl" w:cs="FrankRuehl"/>
          <w:b/>
        </w:rPr>
      </w:pPr>
      <w:r w:rsidRPr="00765247">
        <w:rPr>
          <w:rFonts w:ascii="FrankRuehl" w:hAnsi="FrankRuehl" w:cs="FrankRuehl"/>
          <w:b/>
        </w:rPr>
        <w:t>Volátil</w:t>
      </w:r>
      <w:r w:rsidR="0080602D" w:rsidRPr="00765247">
        <w:rPr>
          <w:rFonts w:ascii="FrankRuehl" w:hAnsi="FrankRuehl" w:cs="FrankRuehl"/>
          <w:b/>
        </w:rPr>
        <w:t>:</w:t>
      </w:r>
    </w:p>
    <w:p w:rsidR="0080602D" w:rsidRPr="00765247" w:rsidRDefault="0080602D" w:rsidP="0080602D">
      <w:pPr>
        <w:pStyle w:val="Sinespaciado"/>
        <w:numPr>
          <w:ilvl w:val="0"/>
          <w:numId w:val="12"/>
        </w:numPr>
        <w:ind w:left="1134"/>
        <w:rPr>
          <w:rFonts w:ascii="FrankRuehl" w:hAnsi="FrankRuehl" w:cs="FrankRuehl"/>
          <w:b/>
        </w:rPr>
      </w:pPr>
      <w:r w:rsidRPr="00765247">
        <w:rPr>
          <w:rFonts w:ascii="FrankRuehl" w:hAnsi="FrankRuehl" w:cs="FrankRuehl"/>
          <w:b/>
        </w:rPr>
        <w:t>Voluble:</w:t>
      </w:r>
    </w:p>
    <w:p w:rsidR="0080602D" w:rsidRPr="00765247" w:rsidRDefault="0080602D" w:rsidP="0080602D">
      <w:pPr>
        <w:pStyle w:val="Sinespaciado"/>
        <w:numPr>
          <w:ilvl w:val="0"/>
          <w:numId w:val="12"/>
        </w:numPr>
        <w:ind w:left="1134"/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Turbia:</w:t>
      </w:r>
    </w:p>
    <w:p w:rsidR="001B657B" w:rsidRPr="00765247" w:rsidRDefault="008364FF" w:rsidP="001B657B">
      <w:pPr>
        <w:pStyle w:val="Sinespaciado"/>
        <w:numPr>
          <w:ilvl w:val="0"/>
          <w:numId w:val="12"/>
        </w:numPr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La etapa Concreta</w:t>
      </w:r>
      <w:r w:rsidRPr="00765247">
        <w:rPr>
          <w:rFonts w:ascii="FrankRuehl" w:hAnsi="FrankRuehl" w:cs="FrankRuehl"/>
        </w:rPr>
        <w:t xml:space="preserve"> es cuando la idea ya está manifestada en el mundo físico, cuando se convierte en una obra realizada.</w:t>
      </w:r>
    </w:p>
    <w:p w:rsidR="001B657B" w:rsidRPr="00765247" w:rsidRDefault="001B657B" w:rsidP="001B657B">
      <w:pPr>
        <w:pStyle w:val="Sinespaciado"/>
        <w:numPr>
          <w:ilvl w:val="0"/>
          <w:numId w:val="12"/>
        </w:numPr>
        <w:ind w:left="1134"/>
        <w:rPr>
          <w:rFonts w:ascii="FrankRuehl" w:hAnsi="FrankRuehl" w:cs="FrankRuehl"/>
          <w:b/>
        </w:rPr>
      </w:pPr>
      <w:r w:rsidRPr="00765247">
        <w:rPr>
          <w:rFonts w:ascii="FrankRuehl" w:hAnsi="FrankRuehl" w:cs="FrankRuehl"/>
          <w:b/>
        </w:rPr>
        <w:t>Densa:</w:t>
      </w:r>
    </w:p>
    <w:p w:rsidR="0080602D" w:rsidRPr="00765247" w:rsidRDefault="001B657B" w:rsidP="001B657B">
      <w:pPr>
        <w:pStyle w:val="Sinespaciado"/>
        <w:numPr>
          <w:ilvl w:val="0"/>
          <w:numId w:val="12"/>
        </w:numPr>
        <w:ind w:left="1134"/>
        <w:rPr>
          <w:rFonts w:ascii="FrankRuehl" w:hAnsi="FrankRuehl" w:cs="FrankRuehl"/>
        </w:rPr>
      </w:pPr>
      <w:r w:rsidRPr="00765247">
        <w:rPr>
          <w:rFonts w:ascii="FrankRuehl" w:hAnsi="FrankRuehl" w:cs="FrankRuehl"/>
          <w:b/>
        </w:rPr>
        <w:t>Ambigua:</w:t>
      </w:r>
    </w:p>
    <w:p w:rsidR="001B657B" w:rsidRDefault="001B657B" w:rsidP="001B657B">
      <w:pPr>
        <w:pStyle w:val="Sinespaciado"/>
        <w:rPr>
          <w:b/>
        </w:rPr>
      </w:pPr>
    </w:p>
    <w:p w:rsidR="00765247" w:rsidRDefault="00765247" w:rsidP="001B657B">
      <w:pPr>
        <w:pStyle w:val="Sinespaciado"/>
        <w:rPr>
          <w:b/>
        </w:rPr>
      </w:pPr>
    </w:p>
    <w:p w:rsidR="00765247" w:rsidRPr="001B657B" w:rsidRDefault="00765247" w:rsidP="001B657B">
      <w:pPr>
        <w:pStyle w:val="Sinespaciado"/>
      </w:pPr>
    </w:p>
    <w:tbl>
      <w:tblPr>
        <w:tblStyle w:val="Tablaconcuadrcula2"/>
        <w:tblpPr w:leftFromText="141" w:rightFromText="141" w:vertAnchor="page" w:horzAnchor="margin" w:tblpXSpec="center" w:tblpY="9459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87077" w:rsidRPr="00A35D55" w:rsidTr="00A87077"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  <w:b/>
                <w:sz w:val="24"/>
              </w:rPr>
            </w:pPr>
            <w:bookmarkStart w:id="0" w:name="_GoBack"/>
            <w:bookmarkEnd w:id="0"/>
            <w:r w:rsidRPr="00A35D55">
              <w:rPr>
                <w:rFonts w:ascii="FrankRuehl" w:hAnsi="FrankRuehl" w:cs="FrankRuehl"/>
                <w:b/>
                <w:sz w:val="24"/>
              </w:rPr>
              <w:t>Etapa 1 Abstracta</w:t>
            </w: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  <w:b/>
                <w:sz w:val="24"/>
              </w:rPr>
            </w:pPr>
            <w:r w:rsidRPr="00A35D55">
              <w:rPr>
                <w:rFonts w:ascii="FrankRuehl" w:hAnsi="FrankRuehl" w:cs="FrankRuehl"/>
                <w:b/>
                <w:sz w:val="24"/>
              </w:rPr>
              <w:t>Etapa 2 Extracta</w:t>
            </w: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  <w:b/>
                <w:sz w:val="24"/>
              </w:rPr>
            </w:pPr>
            <w:r w:rsidRPr="00A35D55">
              <w:rPr>
                <w:rFonts w:ascii="FrankRuehl" w:hAnsi="FrankRuehl" w:cs="FrankRuehl"/>
                <w:b/>
                <w:sz w:val="24"/>
              </w:rPr>
              <w:t>Etapa 3 Exacta</w:t>
            </w: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  <w:b/>
                <w:sz w:val="24"/>
              </w:rPr>
            </w:pPr>
            <w:r w:rsidRPr="00A35D55">
              <w:rPr>
                <w:rFonts w:ascii="FrankRuehl" w:hAnsi="FrankRuehl" w:cs="FrankRuehl"/>
                <w:b/>
                <w:sz w:val="24"/>
              </w:rPr>
              <w:t>Etapa 4 Concreta</w:t>
            </w:r>
          </w:p>
        </w:tc>
      </w:tr>
      <w:tr w:rsidR="00A87077" w:rsidRPr="00A35D55" w:rsidTr="00A87077">
        <w:trPr>
          <w:trHeight w:val="962"/>
        </w:trPr>
        <w:tc>
          <w:tcPr>
            <w:tcW w:w="2207" w:type="dxa"/>
          </w:tcPr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1981"/>
            </w:tblGrid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Imprevisible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Evasiva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Espontanea</w:t>
                  </w:r>
                </w:p>
              </w:tc>
            </w:tr>
          </w:tbl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1981"/>
            </w:tblGrid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Sustractiva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Sustancial</w:t>
                  </w:r>
                </w:p>
              </w:tc>
            </w:tr>
          </w:tbl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1981"/>
            </w:tblGrid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Volátil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Voluble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Turbia</w:t>
                  </w:r>
                </w:p>
              </w:tc>
            </w:tr>
          </w:tbl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1981"/>
            </w:tblGrid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Densa</w:t>
                  </w:r>
                </w:p>
              </w:tc>
            </w:tr>
            <w:tr w:rsidR="00A87077" w:rsidRPr="00A35D55" w:rsidTr="006537F6">
              <w:tc>
                <w:tcPr>
                  <w:tcW w:w="1981" w:type="dxa"/>
                </w:tcPr>
                <w:p w:rsidR="00A87077" w:rsidRPr="00A35D55" w:rsidRDefault="00A87077" w:rsidP="00A87077">
                  <w:pPr>
                    <w:framePr w:hSpace="141" w:wrap="around" w:vAnchor="page" w:hAnchor="margin" w:xAlign="center" w:y="9459"/>
                    <w:rPr>
                      <w:rFonts w:ascii="FrankRuehl" w:hAnsi="FrankRuehl" w:cs="FrankRuehl"/>
                    </w:rPr>
                  </w:pPr>
                  <w:r w:rsidRPr="00A35D55">
                    <w:rPr>
                      <w:rFonts w:ascii="FrankRuehl" w:hAnsi="FrankRuehl" w:cs="FrankRuehl"/>
                    </w:rPr>
                    <w:t>Ambigua</w:t>
                  </w:r>
                </w:p>
              </w:tc>
            </w:tr>
          </w:tbl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</w:tr>
      <w:tr w:rsidR="00A87077" w:rsidRPr="00A35D55" w:rsidTr="00A87077"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  <w:tc>
          <w:tcPr>
            <w:tcW w:w="2207" w:type="dxa"/>
          </w:tcPr>
          <w:p w:rsidR="00A87077" w:rsidRPr="00A35D55" w:rsidRDefault="00A87077" w:rsidP="00A87077">
            <w:pPr>
              <w:rPr>
                <w:rFonts w:ascii="FrankRuehl" w:hAnsi="FrankRuehl" w:cs="FrankRuehl"/>
              </w:rPr>
            </w:pPr>
          </w:p>
        </w:tc>
      </w:tr>
    </w:tbl>
    <w:p w:rsidR="0080602D" w:rsidRDefault="00A87077" w:rsidP="00A87077">
      <w:pPr>
        <w:tabs>
          <w:tab w:val="left" w:pos="9007"/>
        </w:tabs>
        <w:ind w:left="720"/>
        <w:contextualSpacing/>
        <w:rPr>
          <w:rFonts w:ascii="FrankRuehl" w:hAnsi="FrankRuehl" w:cs="FrankRuehl"/>
        </w:rPr>
      </w:pPr>
      <w:r>
        <w:rPr>
          <w:rFonts w:ascii="FrankRuehl" w:hAnsi="FrankRuehl" w:cs="FrankRuehl"/>
        </w:rPr>
        <w:tab/>
      </w:r>
    </w:p>
    <w:p w:rsidR="00A87077" w:rsidRDefault="00A87077" w:rsidP="00A87077">
      <w:pPr>
        <w:tabs>
          <w:tab w:val="left" w:pos="9007"/>
        </w:tabs>
        <w:ind w:left="720"/>
        <w:contextualSpacing/>
        <w:rPr>
          <w:rFonts w:ascii="FrankRuehl" w:hAnsi="FrankRuehl" w:cs="FrankRuehl"/>
        </w:rPr>
      </w:pPr>
    </w:p>
    <w:p w:rsidR="00A87077" w:rsidRDefault="00A87077" w:rsidP="00A87077">
      <w:pPr>
        <w:tabs>
          <w:tab w:val="left" w:pos="9007"/>
        </w:tabs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0602D" w:rsidRPr="00A35D55" w:rsidRDefault="0080602D" w:rsidP="008364FF">
      <w:pPr>
        <w:ind w:left="720"/>
        <w:contextualSpacing/>
        <w:rPr>
          <w:rFonts w:ascii="FrankRuehl" w:hAnsi="FrankRuehl" w:cs="FrankRuehl"/>
        </w:rPr>
      </w:pPr>
    </w:p>
    <w:p w:rsidR="008364FF" w:rsidRDefault="008364FF" w:rsidP="008364FF">
      <w:pPr>
        <w:rPr>
          <w:rFonts w:ascii="FrankRuehl" w:hAnsi="FrankRuehl" w:cs="FrankRuehl"/>
          <w:i/>
        </w:rPr>
      </w:pPr>
      <w:r w:rsidRPr="00A35D55">
        <w:rPr>
          <w:rFonts w:ascii="FrankRuehl" w:hAnsi="FrankRuehl" w:cs="FrankRuehl"/>
        </w:rPr>
        <w:t>*</w:t>
      </w:r>
      <w:r w:rsidRPr="00A35D55">
        <w:rPr>
          <w:rFonts w:ascii="FrankRuehl" w:hAnsi="FrankRuehl" w:cs="FrankRuehl"/>
          <w:i/>
        </w:rPr>
        <w:t xml:space="preserve">Una de las problemáticas que </w:t>
      </w:r>
      <w:r w:rsidR="00A35D55" w:rsidRPr="00A35D55">
        <w:rPr>
          <w:rFonts w:ascii="FrankRuehl" w:hAnsi="FrankRuehl" w:cs="FrankRuehl"/>
          <w:i/>
        </w:rPr>
        <w:t>se resuelven con este concepto es la mala perspectiva con la que calificamos</w:t>
      </w:r>
      <w:r w:rsidRPr="00A35D55">
        <w:rPr>
          <w:rFonts w:ascii="FrankRuehl" w:hAnsi="FrankRuehl" w:cs="FrankRuehl"/>
          <w:i/>
        </w:rPr>
        <w:t xml:space="preserve"> nuestra capacidad de</w:t>
      </w:r>
      <w:r w:rsidR="00A35D55" w:rsidRPr="00A35D55">
        <w:rPr>
          <w:rFonts w:ascii="FrankRuehl" w:hAnsi="FrankRuehl" w:cs="FrankRuehl"/>
          <w:i/>
        </w:rPr>
        <w:t xml:space="preserve"> </w:t>
      </w:r>
      <w:r w:rsidR="006F2A72">
        <w:rPr>
          <w:rFonts w:ascii="FrankRuehl" w:hAnsi="FrankRuehl" w:cs="FrankRuehl"/>
          <w:i/>
        </w:rPr>
        <w:t>crear, idear. Si nos</w:t>
      </w:r>
      <w:r w:rsidR="00A35D55" w:rsidRPr="00A35D55">
        <w:rPr>
          <w:rFonts w:ascii="FrankRuehl" w:hAnsi="FrankRuehl" w:cs="FrankRuehl"/>
          <w:i/>
        </w:rPr>
        <w:t xml:space="preserve"> disociarnos de</w:t>
      </w:r>
      <w:r w:rsidRPr="00A35D55">
        <w:rPr>
          <w:rFonts w:ascii="FrankRuehl" w:hAnsi="FrankRuehl" w:cs="FrankRuehl"/>
          <w:i/>
        </w:rPr>
        <w:t xml:space="preserve"> las ideas </w:t>
      </w:r>
      <w:r w:rsidR="006F2A72">
        <w:rPr>
          <w:rFonts w:ascii="FrankRuehl" w:hAnsi="FrankRuehl" w:cs="FrankRuehl"/>
          <w:i/>
        </w:rPr>
        <w:t>para observarlas</w:t>
      </w:r>
      <w:r w:rsidR="00A35D55" w:rsidRPr="00A35D55">
        <w:rPr>
          <w:rFonts w:ascii="FrankRuehl" w:hAnsi="FrankRuehl" w:cs="FrankRuehl"/>
          <w:i/>
        </w:rPr>
        <w:t xml:space="preserve"> como </w:t>
      </w:r>
      <w:r w:rsidR="006F2A72">
        <w:rPr>
          <w:rFonts w:ascii="FrankRuehl" w:hAnsi="FrankRuehl" w:cs="FrankRuehl"/>
          <w:i/>
        </w:rPr>
        <w:t>entes independientes aprenderemos</w:t>
      </w:r>
      <w:r w:rsidR="00A35D55">
        <w:rPr>
          <w:rFonts w:ascii="FrankRuehl" w:hAnsi="FrankRuehl" w:cs="FrankRuehl"/>
          <w:i/>
        </w:rPr>
        <w:t xml:space="preserve"> de </w:t>
      </w:r>
      <w:r w:rsidRPr="00A35D55">
        <w:rPr>
          <w:rFonts w:ascii="FrankRuehl" w:hAnsi="FrankRuehl" w:cs="FrankRuehl"/>
          <w:i/>
        </w:rPr>
        <w:t xml:space="preserve">sus </w:t>
      </w:r>
      <w:r w:rsidR="00A35D55">
        <w:rPr>
          <w:rFonts w:ascii="FrankRuehl" w:hAnsi="FrankRuehl" w:cs="FrankRuehl"/>
          <w:i/>
        </w:rPr>
        <w:t xml:space="preserve">características </w:t>
      </w:r>
      <w:r w:rsidR="006F2A72">
        <w:rPr>
          <w:rFonts w:ascii="FrankRuehl" w:hAnsi="FrankRuehl" w:cs="FrankRuehl"/>
          <w:i/>
        </w:rPr>
        <w:t>y lograremos-con el tiempo- dominarlas</w:t>
      </w:r>
      <w:r w:rsidRPr="00A35D55">
        <w:rPr>
          <w:rFonts w:ascii="FrankRuehl" w:hAnsi="FrankRuehl" w:cs="FrankRuehl"/>
          <w:i/>
        </w:rPr>
        <w:t xml:space="preserve"> según sea la etapa en </w:t>
      </w:r>
      <w:r w:rsidR="006F2A72">
        <w:rPr>
          <w:rFonts w:ascii="FrankRuehl" w:hAnsi="FrankRuehl" w:cs="FrankRuehl"/>
          <w:i/>
        </w:rPr>
        <w:t xml:space="preserve">la que nos encontremos durante </w:t>
      </w:r>
      <w:r w:rsidRPr="00A35D55">
        <w:rPr>
          <w:rFonts w:ascii="FrankRuehl" w:hAnsi="FrankRuehl" w:cs="FrankRuehl"/>
          <w:i/>
        </w:rPr>
        <w:t>el proceso creativo</w:t>
      </w:r>
      <w:r w:rsidR="006F2A72">
        <w:rPr>
          <w:rFonts w:ascii="FrankRuehl" w:hAnsi="FrankRuehl" w:cs="FrankRuehl"/>
          <w:i/>
        </w:rPr>
        <w:t>.</w:t>
      </w:r>
    </w:p>
    <w:p w:rsidR="001B657B" w:rsidRDefault="001B657B" w:rsidP="008364FF">
      <w:pPr>
        <w:rPr>
          <w:rFonts w:ascii="FrankRuehl" w:hAnsi="FrankRuehl" w:cs="FrankRuehl"/>
          <w:i/>
        </w:rPr>
      </w:pPr>
    </w:p>
    <w:p w:rsidR="001B657B" w:rsidRDefault="001B657B" w:rsidP="008364FF">
      <w:pPr>
        <w:rPr>
          <w:rFonts w:ascii="FrankRuehl" w:hAnsi="FrankRuehl" w:cs="FrankRuehl"/>
          <w:i/>
        </w:rPr>
      </w:pPr>
    </w:p>
    <w:p w:rsidR="001B657B" w:rsidRDefault="001B657B" w:rsidP="008364FF">
      <w:pPr>
        <w:rPr>
          <w:rFonts w:ascii="FrankRuehl" w:hAnsi="FrankRuehl" w:cs="FrankRuehl"/>
          <w:i/>
        </w:rPr>
      </w:pPr>
    </w:p>
    <w:p w:rsidR="001B657B" w:rsidRDefault="001B657B" w:rsidP="008364FF">
      <w:pPr>
        <w:rPr>
          <w:rFonts w:ascii="FrankRuehl" w:hAnsi="FrankRuehl" w:cs="FrankRuehl"/>
          <w:i/>
        </w:rPr>
      </w:pPr>
    </w:p>
    <w:p w:rsidR="00765247" w:rsidRDefault="00765247" w:rsidP="008364FF">
      <w:pPr>
        <w:rPr>
          <w:rFonts w:ascii="FrankRuehl" w:hAnsi="FrankRuehl" w:cs="FrankRuehl"/>
          <w:i/>
        </w:rPr>
      </w:pPr>
    </w:p>
    <w:p w:rsidR="001B657B" w:rsidRPr="00A35D55" w:rsidRDefault="001B657B" w:rsidP="008364FF">
      <w:pPr>
        <w:rPr>
          <w:rFonts w:ascii="FrankRuehl" w:hAnsi="FrankRuehl" w:cs="FrankRuehl"/>
          <w:i/>
        </w:rPr>
      </w:pPr>
    </w:p>
    <w:p w:rsidR="008364FF" w:rsidRPr="00A35D55" w:rsidRDefault="008364FF" w:rsidP="008364FF">
      <w:p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b/>
          <w:sz w:val="24"/>
        </w:rPr>
        <w:t>Ejercicio</w:t>
      </w:r>
      <w:r w:rsidRPr="00A35D55">
        <w:rPr>
          <w:rFonts w:ascii="FrankRuehl" w:hAnsi="FrankRuehl" w:cs="FrankRuehl"/>
          <w:sz w:val="24"/>
        </w:rPr>
        <w:t>:</w:t>
      </w:r>
    </w:p>
    <w:p w:rsidR="008364FF" w:rsidRPr="00A35D55" w:rsidRDefault="008364FF" w:rsidP="008364FF">
      <w:p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Detectar </w:t>
      </w:r>
      <w:r w:rsidRPr="00A35D55">
        <w:rPr>
          <w:rFonts w:ascii="FrankRuehl" w:hAnsi="FrankRuehl" w:cs="FrankRuehl"/>
          <w:b/>
          <w:sz w:val="24"/>
        </w:rPr>
        <w:t>5 propiedades</w:t>
      </w:r>
      <w:r w:rsidRPr="00A35D55">
        <w:rPr>
          <w:rFonts w:ascii="FrankRuehl" w:hAnsi="FrankRuehl" w:cs="FrankRuehl"/>
          <w:sz w:val="24"/>
        </w:rPr>
        <w:t xml:space="preserve"> en las ideas personales con las que solemos trabajar. Para este ejercicio observaremos como se desenvuelve la idea en la mente al momento de escribir y después  le atribuiremos los adjetivos que más la califique…</w:t>
      </w:r>
    </w:p>
    <w:p w:rsidR="008364FF" w:rsidRPr="00A35D55" w:rsidRDefault="008364FF" w:rsidP="008364FF">
      <w:pPr>
        <w:rPr>
          <w:rFonts w:ascii="FrankRuehl" w:hAnsi="FrankRuehl" w:cs="FrankRuehl"/>
          <w:sz w:val="24"/>
        </w:rPr>
      </w:pPr>
      <w:proofErr w:type="spellStart"/>
      <w:r w:rsidRPr="00A35D55">
        <w:rPr>
          <w:rFonts w:ascii="FrankRuehl" w:hAnsi="FrankRuehl" w:cs="FrankRuehl"/>
          <w:sz w:val="24"/>
        </w:rPr>
        <w:t>Ej</w:t>
      </w:r>
      <w:proofErr w:type="spellEnd"/>
      <w:r w:rsidRPr="00A35D55">
        <w:rPr>
          <w:rFonts w:ascii="FrankRuehl" w:hAnsi="FrankRuehl" w:cs="FrankRuehl"/>
          <w:sz w:val="24"/>
        </w:rPr>
        <w:t xml:space="preserve">: 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>“Mi Idea suele irse fácilmente, cuando ya la tengo se esfuma”           Idea Volátil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>”Mi idea suele surgir de repente, sin avisarme”                               Idea Espontanea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    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     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   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    </w:t>
      </w:r>
    </w:p>
    <w:p w:rsidR="008364FF" w:rsidRPr="00A35D55" w:rsidRDefault="008364FF" w:rsidP="008364FF">
      <w:pPr>
        <w:pStyle w:val="Prrafodelista"/>
        <w:numPr>
          <w:ilvl w:val="0"/>
          <w:numId w:val="2"/>
        </w:numPr>
        <w:rPr>
          <w:rFonts w:ascii="FrankRuehl" w:hAnsi="FrankRuehl" w:cs="FrankRuehl"/>
          <w:sz w:val="24"/>
        </w:rPr>
      </w:pPr>
      <w:r w:rsidRPr="00A35D55">
        <w:rPr>
          <w:rFonts w:ascii="FrankRuehl" w:hAnsi="FrankRuehl" w:cs="FrankRuehl"/>
          <w:sz w:val="24"/>
        </w:rPr>
        <w:t xml:space="preserve">  </w:t>
      </w:r>
    </w:p>
    <w:p w:rsidR="008364FF" w:rsidRPr="00A35D55" w:rsidRDefault="008364FF" w:rsidP="008364FF">
      <w:pPr>
        <w:pStyle w:val="Prrafodelista"/>
        <w:rPr>
          <w:rFonts w:ascii="FrankRuehl" w:hAnsi="FrankRuehl" w:cs="FrankRuehl"/>
          <w:sz w:val="24"/>
        </w:rPr>
      </w:pPr>
    </w:p>
    <w:p w:rsidR="00B80D21" w:rsidRDefault="00B80D21"/>
    <w:sectPr w:rsidR="00B80D21" w:rsidSect="008364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FB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BA097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7B3C35"/>
    <w:multiLevelType w:val="hybridMultilevel"/>
    <w:tmpl w:val="6B007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FB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9C2E6D"/>
    <w:multiLevelType w:val="hybridMultilevel"/>
    <w:tmpl w:val="08B2D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3C63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532660"/>
    <w:multiLevelType w:val="hybridMultilevel"/>
    <w:tmpl w:val="F78C73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419E9"/>
    <w:multiLevelType w:val="hybridMultilevel"/>
    <w:tmpl w:val="CF00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2709B"/>
    <w:multiLevelType w:val="multilevel"/>
    <w:tmpl w:val="535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42D7C"/>
    <w:multiLevelType w:val="hybridMultilevel"/>
    <w:tmpl w:val="416AE9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7548A"/>
    <w:multiLevelType w:val="hybridMultilevel"/>
    <w:tmpl w:val="22C89B56"/>
    <w:lvl w:ilvl="0" w:tplc="C9A8A7E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69C5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1186E78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19D7662"/>
    <w:multiLevelType w:val="hybridMultilevel"/>
    <w:tmpl w:val="9DC4E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63606"/>
    <w:multiLevelType w:val="hybridMultilevel"/>
    <w:tmpl w:val="A9F21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782A"/>
    <w:multiLevelType w:val="hybridMultilevel"/>
    <w:tmpl w:val="588E9F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15"/>
  </w:num>
  <w:num w:numId="14">
    <w:abstractNumId w:val="1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42"/>
    <w:rsid w:val="001B657B"/>
    <w:rsid w:val="001D0F8A"/>
    <w:rsid w:val="006F2A72"/>
    <w:rsid w:val="00765247"/>
    <w:rsid w:val="0080602D"/>
    <w:rsid w:val="008364FF"/>
    <w:rsid w:val="00A35D55"/>
    <w:rsid w:val="00A87077"/>
    <w:rsid w:val="00B80D21"/>
    <w:rsid w:val="00C1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75AE-8107-42FA-8EF9-9DD355F7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4FF"/>
    <w:pPr>
      <w:ind w:left="720"/>
      <w:contextualSpacing/>
    </w:pPr>
  </w:style>
  <w:style w:type="paragraph" w:styleId="Sinespaciado">
    <w:name w:val="No Spacing"/>
    <w:uiPriority w:val="1"/>
    <w:qFormat/>
    <w:rsid w:val="008364FF"/>
    <w:pPr>
      <w:spacing w:after="0" w:line="240" w:lineRule="auto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8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4</cp:revision>
  <dcterms:created xsi:type="dcterms:W3CDTF">2016-07-24T16:06:00Z</dcterms:created>
  <dcterms:modified xsi:type="dcterms:W3CDTF">2017-09-27T01:22:00Z</dcterms:modified>
</cp:coreProperties>
</file>